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9" w:rsidRDefault="00F44E89" w:rsidP="0010481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F44E89" w:rsidRDefault="00F44E89" w:rsidP="0010481B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F44E89" w:rsidRPr="00B53C47" w:rsidRDefault="00F44E89" w:rsidP="0010481B"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 w:rsidRPr="00B53C47">
        <w:rPr>
          <w:rFonts w:ascii="方正大标宋简体"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 w:rsidRPr="00B53C47">
        <w:rPr>
          <w:rFonts w:ascii="方正大标宋简体" w:eastAsia="方正大标宋简体" w:hint="eastAsia"/>
          <w:color w:val="FF0000"/>
          <w:w w:val="85"/>
          <w:sz w:val="90"/>
          <w:szCs w:val="90"/>
        </w:rPr>
        <w:t>会</w:t>
      </w:r>
    </w:p>
    <w:p w:rsidR="00F44E89" w:rsidRPr="00B53C47" w:rsidRDefault="00F44E89" w:rsidP="0010481B"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 w:rsidR="00F44E89" w:rsidRPr="00B53C47" w:rsidRDefault="00F44E89" w:rsidP="0010481B"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 w:rsidR="00F44E89" w:rsidRPr="00B53C47" w:rsidRDefault="00F44E89" w:rsidP="0010481B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r w:rsidRPr="00B53C47"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 w:rsidRPr="00B53C47">
        <w:rPr>
          <w:rFonts w:eastAsia="仿宋_GB2312" w:hint="eastAsia"/>
          <w:color w:val="000000"/>
          <w:sz w:val="32"/>
          <w:szCs w:val="32"/>
        </w:rPr>
        <w:t>〔</w:t>
      </w:r>
      <w:r w:rsidRPr="00DB016C">
        <w:rPr>
          <w:rFonts w:ascii="Times New Roman" w:eastAsia="仿宋_GB2312" w:hAnsi="Times New Roman"/>
          <w:bCs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</w:t>
      </w:r>
      <w:r w:rsidRPr="000E6DC1">
        <w:rPr>
          <w:rFonts w:ascii="Times New Roman" w:eastAsia="仿宋_GB2312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B53C47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F44E89" w:rsidRPr="00B53C47" w:rsidRDefault="00F44E89" w:rsidP="0010481B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>
        <w:rPr>
          <w:noProof/>
        </w:rPr>
        <w:pict>
          <v:line id="直接连接符 2" o:spid="_x0000_s1026" style="position:absolute;left:0;text-align:left;flip:x y;z-index:251658240;visibility:visible" from="0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" strokecolor="red" strokeweight="2pt"/>
        </w:pict>
      </w:r>
    </w:p>
    <w:p w:rsidR="00F44E89" w:rsidRPr="00A766A8" w:rsidRDefault="00F44E89" w:rsidP="001048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44E89" w:rsidRDefault="00F44E89" w:rsidP="001048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44E89" w:rsidRPr="00502BD7" w:rsidRDefault="00F44E89" w:rsidP="0010481B">
      <w:pPr>
        <w:tabs>
          <w:tab w:val="left" w:pos="7655"/>
          <w:tab w:val="left" w:pos="7797"/>
        </w:tabs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02BD7">
        <w:rPr>
          <w:rFonts w:ascii="方正小标宋简体" w:eastAsia="方正小标宋简体" w:hint="eastAsia"/>
          <w:sz w:val="44"/>
          <w:szCs w:val="44"/>
        </w:rPr>
        <w:t>柳州市妇女联合会</w:t>
      </w:r>
    </w:p>
    <w:p w:rsidR="00F44E89" w:rsidRPr="0010481B" w:rsidRDefault="00F44E89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10481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关于开展“把爱带回家”</w:t>
      </w:r>
      <w:bookmarkStart w:id="0" w:name="_GoBack"/>
      <w:bookmarkEnd w:id="0"/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--</w:t>
      </w:r>
      <w:r w:rsidRPr="0010481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与留守、困境儿童</w:t>
      </w:r>
    </w:p>
    <w:p w:rsidR="00F44E89" w:rsidRPr="0010481B" w:rsidRDefault="00F44E89">
      <w:pPr>
        <w:widowControl/>
        <w:spacing w:line="600" w:lineRule="exact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44"/>
          <w:szCs w:val="44"/>
        </w:rPr>
      </w:pPr>
      <w:r w:rsidRPr="0010481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结对共度寒假特别行动的通知</w:t>
      </w:r>
    </w:p>
    <w:p w:rsidR="00F44E89" w:rsidRPr="0010481B" w:rsidRDefault="00F44E89" w:rsidP="0010481B">
      <w:pPr>
        <w:widowControl/>
        <w:spacing w:line="58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Pr="0010481B" w:rsidRDefault="00F44E89" w:rsidP="0010481B">
      <w:pPr>
        <w:widowControl/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各县区妇联，</w:t>
      </w:r>
      <w:r w:rsidRPr="0010481B">
        <w:rPr>
          <w:rFonts w:ascii="仿宋_GB2312" w:eastAsia="仿宋_GB2312" w:hint="eastAsia"/>
          <w:sz w:val="32"/>
          <w:szCs w:val="32"/>
        </w:rPr>
        <w:t>柳东新区、北部生态新区（阳和工业新区）党群工作部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寒假春节将至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为使广大儿童度过一个安全、文明、祥和、温暖的假期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在全社会营造关心关爱留守儿童和困境儿童的良好氛围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全国妇联、教育部、民政部、公安部、司法部、国务院妇儿工委办、团中央联合下发了《关于开展“把爱带回家”双百万结对寒假特别行动的通知》（妇厅字〔</w:t>
      </w: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2019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〕</w:t>
      </w: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86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号），要求组织妇联干部、妇联执委、家庭教育专家、儿童主任、法治宣传员、法官、检察官、律师、热心教师、基层公安干警、高校大学生志愿者、爱心企业家等各类群体主动与留守儿童、困境儿童结对过大年。为推进活动开展，现将有关事项通知如下：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left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10481B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一、活动主题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“把爱带回家”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10481B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二、活动时间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2020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年春节前后（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0"/>
        </w:smartTagP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2020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年</w:t>
        </w: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1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月</w:t>
        </w: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1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日</w:t>
        </w:r>
      </w:smartTag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20"/>
        </w:smartTagP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2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月</w:t>
        </w: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2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日</w:t>
        </w:r>
      </w:smartTag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10481B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三、活动内容</w:t>
      </w:r>
      <w:r w:rsidRPr="0010481B"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突出“团圆”“幸福”“爱”等新年特色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主要开展“把优良家风带回家”“把法治安全带回家”“把社会关爱带回家”三项具体活动。即通过教育引导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帮助家长在返乡回家的同时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注重多与孩子交流沟通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关注关心孩子的思想、心理、安全等状况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切实履行家长的监护责任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；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通过开展各类志愿服务活动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让广大家庭享受来自社会各界的关心关爱和新年祝福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并让这份爱永驻留守儿童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困境儿童家庭和儿童心中。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楷体_GB2312" w:eastAsia="楷体_GB2312" w:hAnsi="仿宋_GB2312" w:cs="仿宋_GB2312"/>
          <w:bCs/>
          <w:sz w:val="32"/>
          <w:szCs w:val="32"/>
        </w:rPr>
      </w:pPr>
      <w:r w:rsidRPr="0010481B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（一）把优良家风带回家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开展集中家访。各村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(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)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妇联主席、妇联执委、儿童主任利用务工父母返乡契机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深入留守儿童、困境儿童、辍学儿童家庭进行一次集中家访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了解儿童生活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学习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思想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监护等情况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摸清基本情况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有针对性地加强指导和帮助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强化家长监护主体责任。根据实际情况签署农村留守儿童监护委托协议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帮助家长增强监护意识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提高监护能力。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开展家庭教育讲堂、讲座。各县区组织家庭教育专家、承接妇联业务的社会组织、教师等面向家长和监护人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开展家庭教育讲堂、讲座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分享良好家风家教经验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针对不履行监护责任、对孩子放任不管的家长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开展一对一或一对多的教育引导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强化家长在家庭教育中的主体责任意识，指出存在问题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提出改进方法。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开展红色文化爱国主义活动。依托村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(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)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各类活动场所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,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全区各地组织家长与孩子共同观看红色经典、爱国主义影片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参观各地爱国主义教育基地、边境地区爱国主义教育基地，阅读英雄人物故事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学唱革命歌曲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介绍中国传统节日的由来、内涵、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故事和意义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开展写春联、剪窗花等活动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将红色文化、优秀传统文化融入日常生活中。</w:t>
      </w:r>
    </w:p>
    <w:p w:rsidR="00F44E89" w:rsidRPr="00867BD5" w:rsidRDefault="00F44E89" w:rsidP="00867BD5">
      <w:pPr>
        <w:widowControl/>
        <w:spacing w:line="58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867BD5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（二）把法治安全带回家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集中开展法治副校长进校园活动。公安、教育、司法行政等部门在中小学校放假前组织开展法治副校长进校园活动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开展人身安全、网络素养、防止学生欺凌等方面的法治安全教育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帮助学生提高法律意识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遵守法律规范。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社区家长学校聘请法治辅导员开展教育活动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基层妇联组织在城乡社区家长学校中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为每所家长学校至少聘请一名法治辅导员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结合未成年人受侵害、未成年人犯罪等案例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面向家长和儿童开展以案释法宣传教育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帮助家长儿童知法懂法、遵纪守法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预防未成年人违法犯罪。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开展安全自护教育活动。寒假春节是烟花爆竹事故、交通事故、溺水等事故的易发期。各类志愿者组织孩子观看青少年自我保护相关短视频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面向儿童家长发放预防儿童遭受性侵和意外伤害、维护妇女儿童权益等宣传材料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发挥</w:t>
      </w: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12355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青少年服务台和未成年人保护专线作用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广泛宣传儿童保护相关知识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开展以防范交通事故、烟花爆竹和冰雪天气等意外伤害为内容的安全教育活动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帮助儿童安全度过寒假春节。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严厉打击性侵违法犯罪活动。公安机关要强化打击性侵未成年人犯罪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要及时立案、快侦快破、一办到底。公安、妇联部门要共同梳理一批信访案件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开展核查侦办工作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全力回应人民群众的期待。同时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要逐步推广“一站式取证”工作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最大程度降低因调查取证而对未成年人造成二次伤害。参与试点运行“全国性侵违法犯罪信息系统”的单位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要按照有关要求收集数据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推动系统完善。</w:t>
      </w:r>
    </w:p>
    <w:p w:rsidR="00F44E89" w:rsidRPr="00A768BA" w:rsidRDefault="00F44E89" w:rsidP="00A768BA">
      <w:pPr>
        <w:widowControl/>
        <w:spacing w:line="58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A768B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（三）把社会关爱带回家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1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．实施关爱服务项目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积极动员社会力量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依托公益组织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实施“家庭成长计划”“母亲邮包新年送温暖”“陪留守儿童过新年”等公益项目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向留守儿童、困境儿童赠送学习、生活用品。实施“生命关爱”公益项目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通过开展生命教育培训、心理关爱、法律宣讲和法律支持等公益活动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为少年儿童提供关爱保护服务。实施“守护童年圆满假期”大学生结伴帮扶行动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开展关爱陪伴。发挥各级家庭教育、女医师协会专家作用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走进社区和家庭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开展儿童家庭教育、健康知识大讲堂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帮助家庭学习掌握科学营养健康知识和常见疾病的预防方法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提高留守儿童和困境儿童身体健康素质。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．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走进家庭与留守儿童过新年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各村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(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)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妇联主席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执委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巾帼志愿者、各市女企业家等深入留守儿童、困境儿童家中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与父母因工作原因不能回家过年的留守儿童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困境儿童一起剪窗花、贴春联、包饺子、和父母通视频电话、发祝福信息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让留守儿童、困境儿童感受到爱的温暖。</w:t>
      </w:r>
    </w:p>
    <w:p w:rsidR="00F44E89" w:rsidRPr="008438F8" w:rsidRDefault="00F44E89" w:rsidP="0010481B">
      <w:pPr>
        <w:widowControl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438F8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三、活动要求</w:t>
      </w:r>
      <w:r w:rsidRPr="008438F8"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8438F8">
        <w:rPr>
          <w:rFonts w:ascii="楷体_GB2312" w:eastAsia="楷体_GB2312" w:hAnsi="Times New Roman" w:cs="仿宋_GB2312" w:hint="eastAsia"/>
          <w:bCs/>
          <w:color w:val="000000"/>
          <w:kern w:val="0"/>
          <w:sz w:val="32"/>
          <w:szCs w:val="32"/>
        </w:rPr>
        <w:t>（一）</w:t>
      </w:r>
      <w:r w:rsidRPr="008438F8">
        <w:rPr>
          <w:rFonts w:ascii="楷体_GB2312" w:eastAsia="楷体_GB2312" w:hAnsi="仿宋_GB2312" w:cs="仿宋_GB2312" w:hint="eastAsia"/>
          <w:bCs/>
          <w:color w:val="000000"/>
          <w:kern w:val="0"/>
          <w:sz w:val="32"/>
          <w:szCs w:val="32"/>
        </w:rPr>
        <w:t>强化领导重视。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各级妇联要高度重视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要针对寒假特点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把握儿童成长规律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立足工作职能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结合当地实际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积极与民政、教育、司法、公安、检察、法院等部门联动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发挥当地各类志愿服务队伍和社会组织的作用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发动当地女企业家、家庭教育工作者积极参与，要结合脱贫攻坚，开展惠及广大留守儿童和困境儿童的关爱、志愿服务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增强家长监护责任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让留守儿童和困境儿童在享受亲情陪伴中度过美好假期。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8438F8">
        <w:rPr>
          <w:rFonts w:ascii="楷体_GB2312" w:eastAsia="楷体_GB2312" w:hAnsi="Times New Roman" w:cs="仿宋_GB2312" w:hint="eastAsia"/>
          <w:bCs/>
          <w:color w:val="000000"/>
          <w:kern w:val="0"/>
          <w:sz w:val="32"/>
          <w:szCs w:val="32"/>
        </w:rPr>
        <w:t>（二）</w:t>
      </w:r>
      <w:r w:rsidRPr="008438F8">
        <w:rPr>
          <w:rFonts w:ascii="楷体_GB2312" w:eastAsia="楷体_GB2312" w:hAnsi="仿宋_GB2312" w:cs="仿宋_GB2312" w:hint="eastAsia"/>
          <w:bCs/>
          <w:color w:val="000000"/>
          <w:kern w:val="0"/>
          <w:sz w:val="32"/>
          <w:szCs w:val="32"/>
        </w:rPr>
        <w:t>营造良好氛围。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各级妇联要在高铁、长途汽车站、火车站、码头等农民工返乡必经场所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通过宣传栏、宣传橱窗、电子显示屏等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张贴宣传画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播放家教家风、法治公益广告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制作发放宣传手册、小折页等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让家长带着良好家风、带着监护责任、带着温情关爱回家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营造关心关爱留守儿童和困境儿童的社会氛围。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8438F8">
        <w:rPr>
          <w:rFonts w:ascii="楷体_GB2312" w:eastAsia="楷体_GB2312" w:hAnsi="Times New Roman" w:cs="仿宋_GB2312" w:hint="eastAsia"/>
          <w:bCs/>
          <w:color w:val="000000"/>
          <w:kern w:val="0"/>
          <w:sz w:val="32"/>
          <w:szCs w:val="32"/>
        </w:rPr>
        <w:t>（三）</w:t>
      </w:r>
      <w:r w:rsidRPr="008438F8">
        <w:rPr>
          <w:rFonts w:ascii="楷体_GB2312" w:eastAsia="楷体_GB2312" w:hAnsi="仿宋_GB2312" w:cs="仿宋_GB2312" w:hint="eastAsia"/>
          <w:bCs/>
          <w:color w:val="000000"/>
          <w:kern w:val="0"/>
          <w:sz w:val="32"/>
          <w:szCs w:val="32"/>
        </w:rPr>
        <w:t>加强总结推广。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各级妇联要利用融媒体优势加大活动宣传，让这项活动成为农村儿童得实惠的一项具体行动。要注重总结推广关爱服务工作中的先进经验和典型做法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及时提供关爱服务工作开展情况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持续推动关爱服务工作有效开展。请各县区妇联于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20"/>
        </w:smartTagP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2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月</w:t>
        </w: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1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日</w:t>
        </w:r>
      </w:smartTag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前把《“把爱带回家”双百万结对寒假特别行动情况表》、活动小结、活动照片报送至市妇联家儿部，邮箱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lzfletb@</w:t>
      </w:r>
      <w:r w:rsidRPr="0010481B"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  <w:t>163</w:t>
      </w: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.com</w:t>
      </w: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附件：“把爱带回家”双百万结对寒假特别行动情况表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              </w:t>
      </w:r>
    </w:p>
    <w:p w:rsidR="00F44E89" w:rsidRPr="0010481B" w:rsidRDefault="00F44E89" w:rsidP="008438F8">
      <w:pPr>
        <w:widowControl/>
        <w:spacing w:line="580" w:lineRule="exact"/>
        <w:ind w:firstLineChars="1550" w:firstLine="496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柳州市妇女联合会</w:t>
      </w: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10481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20"/>
        </w:smartTagP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2020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年</w:t>
        </w:r>
        <w:r w:rsidRPr="0010481B"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1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 w:cs="仿宋_GB2312"/>
            <w:bCs/>
            <w:color w:val="000000"/>
            <w:kern w:val="0"/>
            <w:sz w:val="32"/>
            <w:szCs w:val="32"/>
          </w:rPr>
          <w:t>3</w:t>
        </w:r>
        <w:r w:rsidRPr="0010481B">
          <w:rPr>
            <w:rFonts w:ascii="仿宋_GB2312" w:eastAsia="仿宋_GB2312" w:hAnsi="仿宋_GB2312" w:cs="仿宋_GB2312" w:hint="eastAsia"/>
            <w:bCs/>
            <w:color w:val="000000"/>
            <w:kern w:val="0"/>
            <w:sz w:val="32"/>
            <w:szCs w:val="32"/>
          </w:rPr>
          <w:t>日</w:t>
        </w:r>
      </w:smartTag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Pr="0010481B" w:rsidRDefault="00F44E89" w:rsidP="0010481B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F44E89" w:rsidRDefault="00F44E89">
      <w:pPr>
        <w:widowControl/>
        <w:spacing w:line="60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sectPr w:rsidR="00F44E89" w:rsidSect="00743DD8">
          <w:footerReference w:type="even" r:id="rId7"/>
          <w:footerReference w:type="default" r:id="rId8"/>
          <w:pgSz w:w="11906" w:h="16838" w:code="9"/>
          <w:pgMar w:top="2098" w:right="1276" w:bottom="1418" w:left="1588" w:header="851" w:footer="992" w:gutter="0"/>
          <w:pgNumType w:fmt="numberInDash"/>
          <w:cols w:space="425"/>
          <w:docGrid w:type="lines" w:linePitch="312"/>
        </w:sectPr>
      </w:pPr>
    </w:p>
    <w:p w:rsidR="00F44E89" w:rsidRPr="008438F8" w:rsidRDefault="00F44E89">
      <w:pPr>
        <w:widowControl/>
        <w:spacing w:line="600" w:lineRule="exac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 w:rsidRPr="008438F8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</w:p>
    <w:p w:rsidR="00F44E89" w:rsidRPr="008438F8" w:rsidRDefault="00F44E89" w:rsidP="008438F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8438F8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“把爱带回家”双百万结对寒假特别行动情况表</w:t>
      </w:r>
    </w:p>
    <w:p w:rsidR="00F44E89" w:rsidRDefault="00F44E89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  <w:t xml:space="preserve">    </w:t>
      </w:r>
    </w:p>
    <w:p w:rsidR="00F44E89" w:rsidRDefault="00F44E89">
      <w:pPr>
        <w:widowControl/>
        <w:spacing w:line="60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填报单位：</w:t>
      </w:r>
    </w:p>
    <w:tbl>
      <w:tblPr>
        <w:tblpPr w:leftFromText="180" w:rightFromText="180" w:vertAnchor="text" w:horzAnchor="margin" w:tblpY="254"/>
        <w:tblOverlap w:val="never"/>
        <w:tblW w:w="139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6"/>
        <w:gridCol w:w="585"/>
        <w:gridCol w:w="586"/>
        <w:gridCol w:w="585"/>
        <w:gridCol w:w="553"/>
        <w:gridCol w:w="585"/>
        <w:gridCol w:w="495"/>
        <w:gridCol w:w="585"/>
        <w:gridCol w:w="586"/>
        <w:gridCol w:w="586"/>
        <w:gridCol w:w="771"/>
        <w:gridCol w:w="567"/>
        <w:gridCol w:w="800"/>
        <w:gridCol w:w="720"/>
        <w:gridCol w:w="567"/>
        <w:gridCol w:w="1451"/>
        <w:gridCol w:w="567"/>
        <w:gridCol w:w="567"/>
        <w:gridCol w:w="567"/>
        <w:gridCol w:w="567"/>
        <w:gridCol w:w="1050"/>
      </w:tblGrid>
      <w:tr w:rsidR="00F44E89" w:rsidRPr="008438F8" w:rsidTr="008438F8">
        <w:trPr>
          <w:trHeight w:val="588"/>
        </w:trPr>
        <w:tc>
          <w:tcPr>
            <w:tcW w:w="6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志愿活动参与情况（人数）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活动情况</w:t>
            </w:r>
          </w:p>
        </w:tc>
        <w:tc>
          <w:tcPr>
            <w:tcW w:w="3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媒体报道情况</w:t>
            </w:r>
          </w:p>
        </w:tc>
      </w:tr>
      <w:tr w:rsidR="00F44E89" w:rsidRPr="008438F8" w:rsidTr="008438F8">
        <w:trPr>
          <w:trHeight w:val="11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妇联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执委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巾帼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志愿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家庭教育专家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儿童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</w:t>
            </w:r>
          </w:p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官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</w:t>
            </w:r>
          </w:p>
          <w:p w:rsidR="00F44E89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察</w:t>
            </w:r>
          </w:p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官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律</w:t>
            </w:r>
          </w:p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热心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公安干警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大学生志愿者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各类</w:t>
            </w:r>
            <w:r w:rsidRPr="008438F8"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志愿者合计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覆盖县区数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覆盖城乡社区数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结对儿童数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活动场次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受益家长儿童（人次）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纸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媒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视</w:t>
            </w:r>
            <w:r w:rsidRPr="008438F8">
              <w:rPr>
                <w:rFonts w:ascii="仿宋_GB2312" w:eastAsia="仿宋_GB2312" w:cs="宋体"/>
                <w:color w:val="000000"/>
                <w:kern w:val="0"/>
                <w:sz w:val="24"/>
              </w:rPr>
              <w:br/>
            </w:r>
            <w:r w:rsidRPr="008438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 w:rsidRPr="008438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宣传报道合计</w:t>
            </w:r>
          </w:p>
        </w:tc>
      </w:tr>
      <w:tr w:rsidR="00F44E89" w:rsidRPr="008438F8" w:rsidTr="008438F8">
        <w:trPr>
          <w:trHeight w:val="4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4E89" w:rsidRPr="008438F8" w:rsidRDefault="00F44E89" w:rsidP="008438F8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</w:tbl>
    <w:p w:rsidR="00F44E89" w:rsidRDefault="00F44E89">
      <w:pPr>
        <w:widowControl/>
        <w:spacing w:line="600" w:lineRule="exact"/>
        <w:rPr>
          <w:rFonts w:ascii="仿宋_GB2312" w:eastAsia="仿宋_GB2312" w:hAnsi="仿宋_GB2312" w:cs="仿宋_GB2312"/>
          <w:bCs/>
          <w:color w:val="000000"/>
          <w:kern w:val="0"/>
          <w:sz w:val="31"/>
          <w:szCs w:val="31"/>
        </w:rPr>
        <w:sectPr w:rsidR="00F44E89" w:rsidSect="00E059FA">
          <w:pgSz w:w="16838" w:h="11906" w:orient="landscape" w:code="9"/>
          <w:pgMar w:top="1418" w:right="1418" w:bottom="1418" w:left="1418" w:header="851" w:footer="992" w:gutter="0"/>
          <w:pgNumType w:fmt="numberInDash"/>
          <w:cols w:space="425"/>
          <w:docGrid w:type="linesAndChars" w:linePitch="312"/>
        </w:sect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p w:rsidR="00F44E89" w:rsidRDefault="00F44E89" w:rsidP="005649CE">
      <w:pPr>
        <w:spacing w:line="460" w:lineRule="exact"/>
      </w:pPr>
    </w:p>
    <w:p w:rsidR="00F44E89" w:rsidRPr="003021FB" w:rsidRDefault="00F44E89" w:rsidP="005649CE">
      <w:pPr>
        <w:pBdr>
          <w:top w:val="single" w:sz="12" w:space="1" w:color="auto"/>
          <w:bottom w:val="single" w:sz="12" w:space="1" w:color="auto"/>
        </w:pBd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C418B8"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</w:t>
      </w:r>
      <w:r w:rsidRPr="00B01C7A"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</w:t>
      </w:r>
      <w:r w:rsidRPr="005649CE">
        <w:rPr>
          <w:rFonts w:ascii="Times New Roman" w:eastAsia="仿宋_GB2312" w:hAnsi="Times New Roman"/>
          <w:sz w:val="28"/>
          <w:szCs w:val="28"/>
        </w:rPr>
        <w:t>2020</w:t>
      </w:r>
      <w:r w:rsidRPr="005649CE">
        <w:rPr>
          <w:rFonts w:ascii="Times New Roman" w:eastAsia="仿宋_GB2312" w:hint="eastAsia"/>
          <w:sz w:val="28"/>
          <w:szCs w:val="28"/>
        </w:rPr>
        <w:t>年</w:t>
      </w:r>
      <w:r w:rsidRPr="005649CE">
        <w:rPr>
          <w:rFonts w:ascii="Times New Roman" w:eastAsia="仿宋_GB2312" w:hAnsi="Times New Roman"/>
          <w:sz w:val="28"/>
          <w:szCs w:val="28"/>
        </w:rPr>
        <w:t>1</w:t>
      </w:r>
      <w:r w:rsidRPr="005649CE">
        <w:rPr>
          <w:rFonts w:ascii="Times New Roman" w:eastAsia="仿宋_GB2312" w:hint="eastAsia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3</w:t>
      </w:r>
      <w:r w:rsidRPr="00E54603">
        <w:rPr>
          <w:rFonts w:eastAsia="仿宋_GB2312" w:hint="eastAsia"/>
          <w:sz w:val="28"/>
          <w:szCs w:val="28"/>
        </w:rPr>
        <w:t>日</w:t>
      </w:r>
      <w:r w:rsidRPr="00C418B8">
        <w:rPr>
          <w:rFonts w:ascii="仿宋_GB2312" w:eastAsia="仿宋_GB2312" w:hint="eastAsia"/>
          <w:sz w:val="28"/>
          <w:szCs w:val="28"/>
        </w:rPr>
        <w:t>印发</w:t>
      </w:r>
    </w:p>
    <w:p w:rsidR="00F44E89" w:rsidRPr="005649CE" w:rsidRDefault="00F44E89">
      <w:pPr>
        <w:spacing w:line="600" w:lineRule="exact"/>
        <w:rPr>
          <w:rFonts w:ascii="仿宋_GB2312" w:eastAsia="仿宋_GB2312" w:hAnsi="仿宋_GB2312" w:cs="仿宋_GB2312"/>
          <w:bCs/>
        </w:rPr>
      </w:pPr>
    </w:p>
    <w:sectPr w:rsidR="00F44E89" w:rsidRPr="005649CE" w:rsidSect="005649CE">
      <w:pgSz w:w="11906" w:h="16838" w:code="9"/>
      <w:pgMar w:top="2098" w:right="1276" w:bottom="1418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89" w:rsidRDefault="00F44E89" w:rsidP="00E0662C">
      <w:r>
        <w:separator/>
      </w:r>
    </w:p>
  </w:endnote>
  <w:endnote w:type="continuationSeparator" w:id="0">
    <w:p w:rsidR="00F44E89" w:rsidRDefault="00F44E89" w:rsidP="00E0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_GBK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MS Mincho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9" w:rsidRDefault="00F44E89" w:rsidP="005835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E89" w:rsidRDefault="00F44E89" w:rsidP="0010481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9" w:rsidRPr="0010481B" w:rsidRDefault="00F44E89" w:rsidP="0058357E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10481B">
      <w:rPr>
        <w:rStyle w:val="PageNumber"/>
        <w:rFonts w:ascii="宋体" w:hAnsi="宋体"/>
        <w:sz w:val="28"/>
        <w:szCs w:val="28"/>
      </w:rPr>
      <w:fldChar w:fldCharType="begin"/>
    </w:r>
    <w:r w:rsidRPr="0010481B">
      <w:rPr>
        <w:rStyle w:val="PageNumber"/>
        <w:rFonts w:ascii="宋体" w:hAnsi="宋体"/>
        <w:sz w:val="28"/>
        <w:szCs w:val="28"/>
      </w:rPr>
      <w:instrText xml:space="preserve">PAGE  </w:instrText>
    </w:r>
    <w:r w:rsidRPr="0010481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- 8 -</w:t>
    </w:r>
    <w:r w:rsidRPr="0010481B">
      <w:rPr>
        <w:rStyle w:val="PageNumber"/>
        <w:rFonts w:ascii="宋体" w:hAnsi="宋体"/>
        <w:sz w:val="28"/>
        <w:szCs w:val="28"/>
      </w:rPr>
      <w:fldChar w:fldCharType="end"/>
    </w:r>
  </w:p>
  <w:p w:rsidR="00F44E89" w:rsidRDefault="00F44E89" w:rsidP="0010481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89" w:rsidRDefault="00F44E89" w:rsidP="00E0662C">
      <w:r>
        <w:separator/>
      </w:r>
    </w:p>
  </w:footnote>
  <w:footnote w:type="continuationSeparator" w:id="0">
    <w:p w:rsidR="00F44E89" w:rsidRDefault="00F44E89" w:rsidP="00E06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45874"/>
    <w:multiLevelType w:val="singleLevel"/>
    <w:tmpl w:val="9BB4587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62C"/>
    <w:rsid w:val="00011BCF"/>
    <w:rsid w:val="00094484"/>
    <w:rsid w:val="000E6DC1"/>
    <w:rsid w:val="0010481B"/>
    <w:rsid w:val="001B11DA"/>
    <w:rsid w:val="001B65E4"/>
    <w:rsid w:val="003021FB"/>
    <w:rsid w:val="00502BD7"/>
    <w:rsid w:val="005649CE"/>
    <w:rsid w:val="0058357E"/>
    <w:rsid w:val="00743DD8"/>
    <w:rsid w:val="008438F8"/>
    <w:rsid w:val="00867BD5"/>
    <w:rsid w:val="00A2113A"/>
    <w:rsid w:val="00A766A8"/>
    <w:rsid w:val="00A768BA"/>
    <w:rsid w:val="00B01C7A"/>
    <w:rsid w:val="00B1201A"/>
    <w:rsid w:val="00B53C47"/>
    <w:rsid w:val="00C418B8"/>
    <w:rsid w:val="00D97BF8"/>
    <w:rsid w:val="00DB016C"/>
    <w:rsid w:val="00E059FA"/>
    <w:rsid w:val="00E0662C"/>
    <w:rsid w:val="00E54603"/>
    <w:rsid w:val="00F239E0"/>
    <w:rsid w:val="00F44E89"/>
    <w:rsid w:val="00FA3019"/>
    <w:rsid w:val="02CC706A"/>
    <w:rsid w:val="0C4A5275"/>
    <w:rsid w:val="15FA165A"/>
    <w:rsid w:val="178839F4"/>
    <w:rsid w:val="1A4F72D9"/>
    <w:rsid w:val="26F1716E"/>
    <w:rsid w:val="2BDC4239"/>
    <w:rsid w:val="2DBA3760"/>
    <w:rsid w:val="3300097F"/>
    <w:rsid w:val="345B7579"/>
    <w:rsid w:val="387A70B7"/>
    <w:rsid w:val="3D7C6D58"/>
    <w:rsid w:val="49FF5003"/>
    <w:rsid w:val="4B284279"/>
    <w:rsid w:val="4E344DF2"/>
    <w:rsid w:val="52532199"/>
    <w:rsid w:val="55211EF7"/>
    <w:rsid w:val="5DA178B7"/>
    <w:rsid w:val="617F1009"/>
    <w:rsid w:val="6B002731"/>
    <w:rsid w:val="700C5F0D"/>
    <w:rsid w:val="73A72205"/>
    <w:rsid w:val="7BF54970"/>
    <w:rsid w:val="7DF5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66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66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066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font41">
    <w:name w:val="font41"/>
    <w:basedOn w:val="DefaultParagraphFont"/>
    <w:uiPriority w:val="99"/>
    <w:rsid w:val="00E0662C"/>
    <w:rPr>
      <w:rFonts w:ascii="?????_GBK" w:hAnsi="?????_GBK" w:cs="?????_GBK"/>
      <w:color w:val="000000"/>
      <w:sz w:val="22"/>
      <w:szCs w:val="22"/>
      <w:u w:val="none"/>
    </w:rPr>
  </w:style>
  <w:style w:type="character" w:styleId="PageNumber">
    <w:name w:val="page number"/>
    <w:basedOn w:val="DefaultParagraphFont"/>
    <w:uiPriority w:val="99"/>
    <w:rsid w:val="001048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8</Pages>
  <Words>444</Words>
  <Characters>2531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Administrator</dc:creator>
  <cp:keywords/>
  <dc:description/>
  <cp:lastModifiedBy>User</cp:lastModifiedBy>
  <cp:revision>8</cp:revision>
  <cp:lastPrinted>2019-12-31T01:31:00Z</cp:lastPrinted>
  <dcterms:created xsi:type="dcterms:W3CDTF">2020-01-02T08:12:00Z</dcterms:created>
  <dcterms:modified xsi:type="dcterms:W3CDTF">2020-01-03T04:05:00Z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